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5DB0693B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replicates.</w:t>
      </w:r>
      <w:r w:rsidR="00B32F65">
        <w:t xml:space="preserve"> </w:t>
      </w:r>
      <w:r w:rsidR="00A905DC">
        <w:rPr>
          <w:rFonts w:ascii="Arial" w:eastAsia="Times New Roman" w:hAnsi="Arial" w:cs="Arial"/>
          <w:color w:val="000000"/>
          <w:sz w:val="22"/>
          <w:szCs w:val="22"/>
          <w:shd w:val="clear" w:color="auto" w:fill="FFFF00"/>
        </w:rPr>
        <w:t>C</w:t>
      </w:r>
      <w:r w:rsidR="00AB0830" w:rsidRPr="00AB0830">
        <w:rPr>
          <w:rFonts w:ascii="Arial" w:eastAsia="Times New Roman" w:hAnsi="Arial" w:cs="Arial"/>
          <w:color w:val="000000"/>
          <w:sz w:val="22"/>
          <w:szCs w:val="22"/>
          <w:shd w:val="clear" w:color="auto" w:fill="FFFF00"/>
        </w:rPr>
        <w:t>onditions that are listed multiple times represent independent replicates of those conditions.</w:t>
      </w:r>
      <w:r w:rsidR="00AB0830">
        <w:rPr>
          <w:rFonts w:ascii="Times New Roman" w:eastAsia="Times New Roman" w:hAnsi="Times New Roman" w:cs="Times New Roman"/>
        </w:rPr>
        <w:t xml:space="preserve"> </w:t>
      </w:r>
      <w:r w:rsidR="00B32F65">
        <w:t xml:space="preserve">We subsequently performed whole-transcriptome </w:t>
      </w:r>
      <w:r w:rsidR="0084063B" w:rsidRPr="006B4E75">
        <w:t xml:space="preserve">RNA-Seq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r w:rsidR="00B32F65">
        <w:t>mM)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r w:rsidR="00B32F65">
        <w:t>mM)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>(glucose, 5 mM Na</w:t>
      </w:r>
      <w:r w:rsidR="00512D4D" w:rsidRPr="00512D4D">
        <w:rPr>
          <w:vertAlign w:val="superscript"/>
        </w:rPr>
        <w:t>+</w:t>
      </w:r>
      <w:r w:rsidR="00512D4D">
        <w:t>, 0.8 mM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r w:rsidR="00517CC7">
        <w:t>heatmap</w:t>
      </w:r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>The growth conditions for each sample are indicated by the color coding along the top of the heatmap;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>The heatmap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heatmap;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“Gly”: glycerol</w:t>
      </w:r>
      <w:r w:rsidR="00AB0830">
        <w:t>,</w:t>
      </w:r>
      <w:r w:rsidR="004E5E0D">
        <w:t xml:space="preserve"> “Glc”:  gluconate, “Lac”: </w:t>
      </w:r>
      <w:r w:rsidR="00AB0830">
        <w:t>lactate</w:t>
      </w:r>
      <w:r w:rsidR="004E5E0D">
        <w:t>.</w:t>
      </w:r>
      <w:bookmarkStart w:id="0" w:name="_GoBack"/>
      <w:bookmarkEnd w:id="0"/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(A)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2A309C50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>Differentially expressed genes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F20334">
        <w:rPr>
          <w:highlight w:val="yellow"/>
        </w:rPr>
        <w:t xml:space="preserve">against the control of </w:t>
      </w:r>
      <w:r w:rsidR="00F20334">
        <w:rPr>
          <w:highlight w:val="yellow"/>
        </w:rPr>
        <w:t xml:space="preserve">samples at </w:t>
      </w:r>
      <w:r w:rsidR="00F20334" w:rsidRPr="00F20334">
        <w:rPr>
          <w:highlight w:val="yellow"/>
        </w:rPr>
        <w:t>base Mg</w:t>
      </w:r>
      <w:r w:rsidR="00F20334" w:rsidRPr="00F20334">
        <w:rPr>
          <w:highlight w:val="yellow"/>
          <w:vertAlign w:val="superscript"/>
        </w:rPr>
        <w:t>2+</w:t>
      </w:r>
      <w:r w:rsidR="00F20334" w:rsidRPr="00F20334">
        <w:rPr>
          <w:highlight w:val="yellow"/>
        </w:rPr>
        <w:t xml:space="preserve"> level in exponential phase</w:t>
      </w:r>
      <w:r w:rsidRPr="00A726F0">
        <w:t>, as determined by mRNA abundances</w:t>
      </w:r>
      <w:r>
        <w:t xml:space="preserve">. (B) </w:t>
      </w:r>
      <w:r w:rsidR="0046017C">
        <w:t>Differentially expressed genes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F20334">
        <w:rPr>
          <w:highlight w:val="yellow"/>
        </w:rPr>
        <w:t>against the control of samples with glucose as carbon source in exponential phase</w:t>
      </w:r>
      <w:r w:rsidRPr="00A726F0">
        <w:t>, as determined by protein abundances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378CBD2F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</w:t>
      </w:r>
      <w:commentRangeStart w:id="1"/>
      <w:r w:rsidR="0059458E">
        <w:t xml:space="preserve">Ref. </w:t>
      </w:r>
      <w:r w:rsidR="00650F45">
        <w:t>3</w:t>
      </w:r>
      <w:r w:rsidR="00D13349">
        <w:t>5</w:t>
      </w:r>
      <w:commentRangeEnd w:id="1"/>
      <w:r w:rsidR="00650F45">
        <w:rPr>
          <w:rStyle w:val="CommentReference"/>
        </w:rPr>
        <w:commentReference w:id="1"/>
      </w:r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>esting (Supplementary Table 11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7AC0B225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cophenetic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>|&gt;2) is indicated with a *.</w:t>
      </w:r>
      <w:r w:rsidR="0048505C">
        <w:t xml:space="preserve"> </w:t>
      </w:r>
      <w:r w:rsidR="00650F45">
        <w:rPr>
          <w:highlight w:val="yellow"/>
        </w:rPr>
        <w:t>The</w:t>
      </w:r>
      <w:r w:rsidR="0048505C" w:rsidRPr="0048505C">
        <w:rPr>
          <w:highlight w:val="yellow"/>
        </w:rPr>
        <w:t xml:space="preserve"> </w:t>
      </w:r>
      <w:r w:rsidR="0048505C" w:rsidRPr="00650F45">
        <w:rPr>
          <w:i/>
          <w:highlight w:val="yellow"/>
        </w:rPr>
        <w:t>z</w:t>
      </w:r>
      <w:r w:rsidR="0048505C" w:rsidRPr="0048505C">
        <w:rPr>
          <w:highlight w:val="yellow"/>
        </w:rPr>
        <w:t xml:space="preserve">-scores of individual batches </w:t>
      </w:r>
      <w:r w:rsidR="00650F45">
        <w:rPr>
          <w:highlight w:val="yellow"/>
        </w:rPr>
        <w:t>are provided in Supplementary Tables S4 and</w:t>
      </w:r>
      <w:r w:rsidR="0048505C" w:rsidRPr="0048505C">
        <w:rPr>
          <w:highlight w:val="yellow"/>
        </w:rPr>
        <w:t xml:space="preserve"> S5</w:t>
      </w:r>
      <w:r w:rsidR="00650F45">
        <w:t>.</w:t>
      </w:r>
    </w:p>
    <w:tbl>
      <w:tblPr>
        <w:tblW w:w="851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660"/>
      </w:tblGrid>
      <w:tr w:rsidR="005D58E8" w:rsidRPr="005D58E8" w14:paraId="4296B937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9A5E827" w14:textId="356617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  <w:r w:rsidR="00E804B2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0D4DE8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Wilke, Claus O" w:date="2017-01-23T18:04:00Z" w:initials="WCO">
    <w:p w14:paraId="13974BBD" w14:textId="3CA6F604" w:rsidR="00650F45" w:rsidRDefault="00650F45">
      <w:pPr>
        <w:pStyle w:val="CommentText"/>
      </w:pPr>
      <w:r>
        <w:rPr>
          <w:rStyle w:val="CommentReference"/>
        </w:rPr>
        <w:annotationRef/>
      </w:r>
      <w:r>
        <w:t>Need to make sure this is the correct reference number upon submission.</w:t>
      </w:r>
      <w:r w:rsidR="00D13349">
        <w:t xml:space="preserve"> The reference is: </w:t>
      </w:r>
      <w:r w:rsidR="00D13349" w:rsidRPr="00EA414B">
        <w:rPr>
          <w:rFonts w:ascii="Calibri"/>
        </w:rPr>
        <w:t xml:space="preserve">Zamboni, N., Fischer, E. &amp; Sauer, U. FiatFlux--a software for metabolic flux analysis from 13C-glucose experiments. </w:t>
      </w:r>
      <w:r w:rsidR="00D13349" w:rsidRPr="00EA414B">
        <w:rPr>
          <w:rFonts w:ascii="Calibri"/>
          <w:i/>
          <w:iCs/>
        </w:rPr>
        <w:t>BMC Bioinformatics</w:t>
      </w:r>
      <w:r w:rsidR="00D13349" w:rsidRPr="00EA414B">
        <w:rPr>
          <w:rFonts w:ascii="Calibri"/>
        </w:rPr>
        <w:t xml:space="preserve"> </w:t>
      </w:r>
      <w:r w:rsidR="00D13349" w:rsidRPr="00EA414B">
        <w:rPr>
          <w:rFonts w:ascii="Calibri"/>
          <w:b/>
          <w:bCs/>
        </w:rPr>
        <w:t>6,</w:t>
      </w:r>
      <w:r w:rsidR="00D13349" w:rsidRPr="00EA414B">
        <w:rPr>
          <w:rFonts w:ascii="Calibri"/>
        </w:rPr>
        <w:t xml:space="preserve"> 209 (2005).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974B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0"/>
  <w:defaultTabStop w:val="720"/>
  <w:drawingGridHorizontalSpacing w:val="187"/>
  <w:drawingGridVerticalSpacing w:val="187"/>
  <w:doNotUseMarginsForDrawingGridOrigin/>
  <w:drawingGridHorizontalOrigin w:val="1800"/>
  <w:drawingGridVerticalOrigin w:val="1354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3D57F61-4AE0-3D44-AFC8-5EBBD88992B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5C451A7-31E7-8C4B-A44A-31A71514D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10</Pages>
  <Words>1021</Words>
  <Characters>5823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Wilke, Claus O</cp:lastModifiedBy>
  <cp:revision>96</cp:revision>
  <cp:lastPrinted>2016-06-21T16:14:00Z</cp:lastPrinted>
  <dcterms:created xsi:type="dcterms:W3CDTF">2016-01-06T19:04:00Z</dcterms:created>
  <dcterms:modified xsi:type="dcterms:W3CDTF">2017-01-24T00:20:00Z</dcterms:modified>
</cp:coreProperties>
</file>